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5E6" w:rsidRDefault="00BA75E6" w:rsidP="008A2CE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答辩资格审核</w:t>
      </w:r>
      <w:r w:rsidRPr="008A2CE6">
        <w:rPr>
          <w:rFonts w:ascii="方正小标宋简体" w:eastAsia="方正小标宋简体" w:hint="eastAsia"/>
          <w:sz w:val="44"/>
          <w:szCs w:val="44"/>
        </w:rPr>
        <w:t>操作流程</w:t>
      </w:r>
    </w:p>
    <w:p w:rsidR="00BA75E6" w:rsidRPr="00BA75E6" w:rsidRDefault="00BA75E6" w:rsidP="008A2CE6">
      <w:pPr>
        <w:jc w:val="center"/>
        <w:rPr>
          <w:rFonts w:ascii="方正小标宋简体" w:eastAsia="方正小标宋简体"/>
          <w:sz w:val="32"/>
          <w:szCs w:val="32"/>
        </w:rPr>
      </w:pPr>
      <w:r w:rsidRPr="00BA75E6">
        <w:rPr>
          <w:rFonts w:ascii="方正小标宋简体" w:eastAsia="方正小标宋简体" w:hint="eastAsia"/>
          <w:sz w:val="32"/>
          <w:szCs w:val="32"/>
        </w:rPr>
        <w:t>（</w:t>
      </w:r>
      <w:proofErr w:type="gramStart"/>
      <w:r w:rsidRPr="00BA75E6">
        <w:rPr>
          <w:rFonts w:ascii="方正小标宋简体" w:eastAsia="方正小标宋简体" w:hint="eastAsia"/>
          <w:sz w:val="32"/>
          <w:szCs w:val="32"/>
        </w:rPr>
        <w:t>含指导</w:t>
      </w:r>
      <w:proofErr w:type="gramEnd"/>
      <w:r w:rsidRPr="00BA75E6">
        <w:rPr>
          <w:rFonts w:ascii="方正小标宋简体" w:eastAsia="方正小标宋简体" w:hint="eastAsia"/>
          <w:sz w:val="32"/>
          <w:szCs w:val="32"/>
        </w:rPr>
        <w:t>教师和专业负责人）</w:t>
      </w:r>
    </w:p>
    <w:p w:rsidR="00FF25FB" w:rsidRPr="00BA75E6" w:rsidRDefault="00BA75E6" w:rsidP="00BA75E6">
      <w:pPr>
        <w:rPr>
          <w:rFonts w:ascii="黑体" w:eastAsia="黑体" w:hAnsi="黑体"/>
          <w:sz w:val="32"/>
          <w:szCs w:val="32"/>
        </w:rPr>
      </w:pPr>
      <w:r w:rsidRPr="00BA75E6">
        <w:rPr>
          <w:rFonts w:ascii="黑体" w:eastAsia="黑体" w:hAnsi="黑体" w:hint="eastAsia"/>
          <w:sz w:val="32"/>
          <w:szCs w:val="32"/>
        </w:rPr>
        <w:t>一、</w:t>
      </w:r>
      <w:r w:rsidR="008A2CE6" w:rsidRPr="00BA75E6">
        <w:rPr>
          <w:rFonts w:ascii="黑体" w:eastAsia="黑体" w:hAnsi="黑体" w:hint="eastAsia"/>
          <w:sz w:val="32"/>
          <w:szCs w:val="32"/>
        </w:rPr>
        <w:t>指导教师审核答辩资格操作流程</w:t>
      </w:r>
    </w:p>
    <w:p w:rsidR="008A2CE6" w:rsidRPr="008A2CE6" w:rsidRDefault="008A2CE6" w:rsidP="008A2CE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8A2CE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指导教师</w:t>
      </w:r>
      <w:r w:rsidRPr="008A2CE6">
        <w:rPr>
          <w:rFonts w:ascii="仿宋_GB2312" w:eastAsia="仿宋_GB2312" w:hAnsi="仿宋_GB2312" w:cs="仿宋_GB2312"/>
          <w:b/>
          <w:bCs/>
          <w:sz w:val="32"/>
          <w:szCs w:val="32"/>
        </w:rPr>
        <w:t>本人账号</w:t>
      </w:r>
      <w:r w:rsidRPr="008A2CE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登录</w:t>
      </w:r>
      <w:r w:rsidRPr="008A2CE6">
        <w:rPr>
          <w:rFonts w:ascii="仿宋_GB2312" w:eastAsia="仿宋_GB2312" w:hAnsi="仿宋_GB2312" w:cs="仿宋_GB2312"/>
          <w:b/>
          <w:bCs/>
          <w:sz w:val="32"/>
          <w:szCs w:val="32"/>
        </w:rPr>
        <w:t>，进入教务系统</w:t>
      </w:r>
      <w:r w:rsidRPr="008A2CE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—毕业论文（设计）</w:t>
      </w:r>
    </w:p>
    <w:p w:rsidR="008A2CE6" w:rsidRDefault="008A2CE6" w:rsidP="008A2CE6">
      <w:pPr>
        <w:pStyle w:val="a5"/>
        <w:ind w:left="360" w:firstLineChars="0" w:firstLine="0"/>
      </w:pPr>
      <w:r>
        <w:rPr>
          <w:noProof/>
        </w:rPr>
        <w:drawing>
          <wp:inline distT="0" distB="0" distL="0" distR="0" wp14:anchorId="67CC18AB" wp14:editId="1BDB4D16">
            <wp:extent cx="5066667" cy="368571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6667" cy="368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E6" w:rsidRDefault="008A2CE6" w:rsidP="008A2CE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点击</w:t>
      </w:r>
      <w:r w:rsidRPr="00E34CBC"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答辩资格设置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出现如下界面：</w:t>
      </w:r>
    </w:p>
    <w:p w:rsidR="008A2CE6" w:rsidRDefault="008A2CE6" w:rsidP="008A2CE6">
      <w:pPr>
        <w:pStyle w:val="a5"/>
        <w:ind w:left="36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C48B2A0" wp14:editId="0CB71F29">
            <wp:extent cx="5274310" cy="1095762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CE6" w:rsidRDefault="008A2CE6" w:rsidP="008A2CE6">
      <w:pPr>
        <w:pStyle w:val="a5"/>
        <w:ind w:left="36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务必在答辩类型选择</w:t>
      </w:r>
      <w:r w:rsidRPr="008A2CE6"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论文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（指论文第一次答辩）后，点击查询，（需要二次答辩的同学在二次答辩前选择答辩类型-论文二次答辩）</w:t>
      </w:r>
    </w:p>
    <w:p w:rsidR="008A2CE6" w:rsidRDefault="005C76E0" w:rsidP="008A2CE6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点击</w:t>
      </w:r>
      <w:r w:rsidRPr="00E34CBC"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查询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后出现指导论文</w:t>
      </w:r>
      <w:r w:rsidR="008A2CE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信息如下：</w:t>
      </w:r>
    </w:p>
    <w:p w:rsidR="008A2CE6" w:rsidRDefault="008A2CE6" w:rsidP="008A2CE6">
      <w:pPr>
        <w:pStyle w:val="a5"/>
        <w:ind w:left="36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05C0089" wp14:editId="2598F5ED">
            <wp:extent cx="5274310" cy="1366803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E0" w:rsidRDefault="005C76E0" w:rsidP="005C76E0">
      <w:pPr>
        <w:pStyle w:val="a5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选择相应论文打钩，点击右上角</w:t>
      </w:r>
      <w:r w:rsidRPr="00E34CBC"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设置</w:t>
      </w:r>
    </w:p>
    <w:p w:rsidR="005C76E0" w:rsidRDefault="005C76E0" w:rsidP="005C76E0">
      <w:pPr>
        <w:pStyle w:val="a5"/>
        <w:ind w:left="36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6461CD9" wp14:editId="195D802B">
            <wp:extent cx="5274310" cy="999921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9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6E0" w:rsidRPr="00BA75E6" w:rsidRDefault="005C76E0" w:rsidP="00BA75E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BA75E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5.出现如下界面：在</w:t>
      </w:r>
      <w:r w:rsidRPr="00BA75E6"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答辩资格</w:t>
      </w:r>
      <w:r w:rsidRPr="00BA75E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处选择</w:t>
      </w:r>
      <w:r w:rsidRPr="00BA75E6"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允许答辩或不允许答辩</w:t>
      </w:r>
      <w:r w:rsidRPr="00BA75E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后点击保存。</w:t>
      </w:r>
    </w:p>
    <w:p w:rsidR="005C76E0" w:rsidRDefault="005C76E0" w:rsidP="005C76E0">
      <w:pPr>
        <w:pStyle w:val="a5"/>
        <w:ind w:left="36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C43BDEF" wp14:editId="6322F094">
            <wp:extent cx="5274310" cy="3073018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E6" w:rsidRPr="00BA75E6" w:rsidRDefault="00BA75E6" w:rsidP="00BA75E6">
      <w:pPr>
        <w:rPr>
          <w:rFonts w:ascii="黑体" w:eastAsia="黑体" w:hAnsi="黑体" w:cs="仿宋_GB2312"/>
          <w:bCs/>
          <w:sz w:val="32"/>
          <w:szCs w:val="32"/>
        </w:rPr>
      </w:pPr>
      <w:r w:rsidRPr="00BA75E6">
        <w:rPr>
          <w:rFonts w:ascii="黑体" w:eastAsia="黑体" w:hAnsi="黑体" w:cs="仿宋_GB2312" w:hint="eastAsia"/>
          <w:bCs/>
          <w:sz w:val="32"/>
          <w:szCs w:val="32"/>
        </w:rPr>
        <w:t>二、专业负责人审核最终答辩资格操作流程</w:t>
      </w:r>
    </w:p>
    <w:p w:rsidR="00BA75E6" w:rsidRPr="0005726A" w:rsidRDefault="00BA75E6" w:rsidP="00BA75E6">
      <w:pPr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指导教师审核答辩资格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且查重结果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录入后进入专业负责人审核最终答辩资格环节，流程如下：</w:t>
      </w:r>
    </w:p>
    <w:p w:rsidR="00BA75E6" w:rsidRPr="00BA75E6" w:rsidRDefault="00BA75E6" w:rsidP="00BA75E6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1.</w:t>
      </w:r>
      <w:r w:rsidRPr="00BA75E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专业负责人</w:t>
      </w:r>
      <w:r w:rsidRPr="00BA75E6">
        <w:rPr>
          <w:rFonts w:ascii="仿宋_GB2312" w:eastAsia="仿宋_GB2312" w:hAnsi="仿宋_GB2312" w:cs="仿宋_GB2312"/>
          <w:b/>
          <w:bCs/>
          <w:sz w:val="32"/>
          <w:szCs w:val="32"/>
        </w:rPr>
        <w:t>账号</w:t>
      </w:r>
      <w:r w:rsidRPr="00BA75E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登录</w:t>
      </w:r>
      <w:r w:rsidRPr="00BA75E6">
        <w:rPr>
          <w:rFonts w:ascii="仿宋_GB2312" w:eastAsia="仿宋_GB2312" w:hAnsi="仿宋_GB2312" w:cs="仿宋_GB2312"/>
          <w:b/>
          <w:bCs/>
          <w:sz w:val="32"/>
          <w:szCs w:val="32"/>
        </w:rPr>
        <w:t>，进入教务系统</w:t>
      </w:r>
      <w:r w:rsidRPr="00BA75E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—毕业论文（设计）管理</w:t>
      </w:r>
    </w:p>
    <w:p w:rsidR="00BA75E6" w:rsidRPr="009370C0" w:rsidRDefault="00BA75E6" w:rsidP="00BA75E6"/>
    <w:p w:rsidR="00BA75E6" w:rsidRDefault="00BA75E6" w:rsidP="00BA75E6">
      <w:r>
        <w:rPr>
          <w:noProof/>
        </w:rPr>
        <w:drawing>
          <wp:inline distT="0" distB="0" distL="0" distR="0" wp14:anchorId="65D513F0" wp14:editId="3A6AC25E">
            <wp:extent cx="5274310" cy="2029755"/>
            <wp:effectExtent l="0" t="0" r="2540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E6" w:rsidRPr="00BA75E6" w:rsidRDefault="00BA75E6" w:rsidP="00BA75E6">
      <w:pPr>
        <w:pStyle w:val="a5"/>
        <w:numPr>
          <w:ilvl w:val="0"/>
          <w:numId w:val="2"/>
        </w:numPr>
        <w:ind w:firstLineChars="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BA75E6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答辩管理--点击学生答辩资格设置</w:t>
      </w:r>
    </w:p>
    <w:p w:rsidR="00BA75E6" w:rsidRDefault="00BA75E6" w:rsidP="00BA75E6">
      <w:pPr>
        <w:pStyle w:val="a5"/>
        <w:ind w:left="36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134B7A9" wp14:editId="2E76785B">
            <wp:extent cx="5274310" cy="1399768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9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E6" w:rsidRDefault="00BA75E6" w:rsidP="00BA75E6">
      <w:pPr>
        <w:pStyle w:val="a5"/>
        <w:ind w:left="36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在此界面选择学院-专业-年级，答辩类型选</w:t>
      </w:r>
      <w:r w:rsidRPr="0005726A"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论文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（指论文第一次答辩）然后查询；需要二次答辩的学生才能设置二次答辩资格。</w:t>
      </w:r>
    </w:p>
    <w:p w:rsidR="00BA75E6" w:rsidRDefault="00BA75E6" w:rsidP="00BA75E6">
      <w:pPr>
        <w:pStyle w:val="a5"/>
        <w:ind w:left="36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3.可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在</w:t>
      </w:r>
      <w:r w:rsidRPr="0005726A"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查重结果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和</w:t>
      </w:r>
      <w:r w:rsidRPr="0005726A">
        <w:rPr>
          <w:rFonts w:ascii="仿宋_GB2312" w:eastAsia="仿宋_GB2312" w:hAnsi="仿宋_GB2312" w:cs="仿宋_GB2312" w:hint="eastAsia"/>
          <w:b/>
          <w:bCs/>
          <w:sz w:val="32"/>
          <w:szCs w:val="32"/>
          <w:highlight w:val="yellow"/>
        </w:rPr>
        <w:t>指导教师设置答辩资格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两个地方选择审核通过和不通过、允许答辩和不允许答辩进行筛选</w:t>
      </w:r>
    </w:p>
    <w:p w:rsidR="00BA75E6" w:rsidRPr="00D47815" w:rsidRDefault="00BA75E6" w:rsidP="00BA75E6">
      <w:pPr>
        <w:pStyle w:val="a5"/>
        <w:ind w:left="360" w:firstLineChars="0" w:firstLine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1F40A1C" wp14:editId="5A349FD9">
            <wp:extent cx="3923810" cy="1714286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23810" cy="17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47815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2FE53335" wp14:editId="06EA36E6">
            <wp:extent cx="4685715" cy="2142857"/>
            <wp:effectExtent l="0" t="0" r="63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85715" cy="2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E6" w:rsidRPr="00BA75E6" w:rsidRDefault="00BA75E6" w:rsidP="00BA75E6">
      <w:pPr>
        <w:rPr>
          <w:rFonts w:ascii="仿宋_GB2312" w:eastAsia="仿宋_GB2312"/>
          <w:sz w:val="32"/>
          <w:szCs w:val="32"/>
          <w:highlight w:val="yellow"/>
        </w:rPr>
      </w:pPr>
      <w:r w:rsidRPr="00BA75E6">
        <w:rPr>
          <w:rFonts w:ascii="仿宋_GB2312" w:eastAsia="仿宋_GB2312" w:hint="eastAsia"/>
          <w:sz w:val="32"/>
          <w:szCs w:val="32"/>
        </w:rPr>
        <w:t xml:space="preserve">筛选后可在 </w:t>
      </w:r>
      <w:r w:rsidRPr="00BA75E6">
        <w:rPr>
          <w:rFonts w:ascii="仿宋_GB2312" w:eastAsia="仿宋_GB2312" w:hint="eastAsia"/>
          <w:sz w:val="32"/>
          <w:szCs w:val="32"/>
          <w:highlight w:val="yellow"/>
        </w:rPr>
        <w:t>学年</w:t>
      </w:r>
      <w:r w:rsidRPr="00BA75E6">
        <w:rPr>
          <w:rFonts w:ascii="仿宋_GB2312" w:eastAsia="仿宋_GB2312" w:hint="eastAsia"/>
          <w:sz w:val="32"/>
          <w:szCs w:val="32"/>
        </w:rPr>
        <w:t>左侧方框打</w:t>
      </w:r>
      <w:proofErr w:type="gramStart"/>
      <w:r w:rsidRPr="00BA75E6">
        <w:rPr>
          <w:rFonts w:ascii="仿宋_GB2312" w:eastAsia="仿宋_GB2312" w:hint="eastAsia"/>
          <w:sz w:val="32"/>
          <w:szCs w:val="32"/>
        </w:rPr>
        <w:t>钩全选</w:t>
      </w:r>
      <w:proofErr w:type="gramEnd"/>
      <w:r w:rsidRPr="00BA75E6">
        <w:rPr>
          <w:rFonts w:ascii="仿宋_GB2312" w:eastAsia="仿宋_GB2312" w:hint="eastAsia"/>
          <w:sz w:val="32"/>
          <w:szCs w:val="32"/>
        </w:rPr>
        <w:t xml:space="preserve">，右上角点击 </w:t>
      </w:r>
      <w:r w:rsidRPr="00BA75E6">
        <w:rPr>
          <w:rFonts w:ascii="仿宋_GB2312" w:eastAsia="仿宋_GB2312" w:hint="eastAsia"/>
          <w:sz w:val="32"/>
          <w:szCs w:val="32"/>
          <w:highlight w:val="yellow"/>
        </w:rPr>
        <w:t>批量设置，</w:t>
      </w:r>
      <w:r w:rsidRPr="00BA75E6">
        <w:rPr>
          <w:rFonts w:ascii="仿宋_GB2312" w:eastAsia="仿宋_GB2312" w:hint="eastAsia"/>
          <w:sz w:val="32"/>
          <w:szCs w:val="32"/>
        </w:rPr>
        <w:t>审核最终答辩资格，也可以一一进行设置。</w:t>
      </w:r>
    </w:p>
    <w:p w:rsidR="00BA75E6" w:rsidRDefault="00BA75E6" w:rsidP="00BA75E6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443D138F" wp14:editId="76242EEF">
            <wp:extent cx="3076191" cy="504762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76191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E6" w:rsidRDefault="00BA75E6" w:rsidP="00BA75E6">
      <w:pPr>
        <w:rPr>
          <w:rFonts w:ascii="仿宋_GB2312" w:eastAsia="仿宋_GB2312"/>
          <w:sz w:val="32"/>
          <w:szCs w:val="32"/>
        </w:rPr>
      </w:pPr>
    </w:p>
    <w:p w:rsidR="00BA75E6" w:rsidRDefault="00BA75E6" w:rsidP="00BA75E6">
      <w:pPr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0" distR="0" wp14:anchorId="788695F3" wp14:editId="5E337659">
            <wp:extent cx="5274310" cy="1866764"/>
            <wp:effectExtent l="0" t="0" r="2540" b="63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6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75E6" w:rsidRPr="00DF1B18" w:rsidRDefault="00BA75E6" w:rsidP="00BA75E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DF1B18">
        <w:rPr>
          <w:rFonts w:ascii="仿宋_GB2312" w:eastAsia="仿宋_GB2312" w:hint="eastAsia"/>
          <w:sz w:val="32"/>
          <w:szCs w:val="32"/>
          <w:highlight w:val="yellow"/>
        </w:rPr>
        <w:t>注意：</w:t>
      </w:r>
      <w:r w:rsidRPr="00DF1B18">
        <w:rPr>
          <w:rFonts w:ascii="仿宋_GB2312" w:eastAsia="仿宋_GB2312" w:hint="eastAsia"/>
          <w:sz w:val="32"/>
          <w:szCs w:val="32"/>
        </w:rPr>
        <w:t>指导教师设置答辩资格为不允许答辩</w:t>
      </w:r>
      <w:proofErr w:type="gramStart"/>
      <w:r w:rsidRPr="00DF1B18">
        <w:rPr>
          <w:rFonts w:ascii="仿宋_GB2312" w:eastAsia="仿宋_GB2312" w:hint="eastAsia"/>
          <w:sz w:val="32"/>
          <w:szCs w:val="32"/>
        </w:rPr>
        <w:t>或查重结果</w:t>
      </w:r>
      <w:proofErr w:type="gramEnd"/>
      <w:r w:rsidRPr="00DF1B18">
        <w:rPr>
          <w:rFonts w:ascii="仿宋_GB2312" w:eastAsia="仿宋_GB2312" w:hint="eastAsia"/>
          <w:sz w:val="32"/>
          <w:szCs w:val="32"/>
        </w:rPr>
        <w:t>审核不通过时，专业负责人</w:t>
      </w:r>
      <w:proofErr w:type="gramStart"/>
      <w:r w:rsidRPr="00DF1B18">
        <w:rPr>
          <w:rFonts w:ascii="仿宋_GB2312" w:eastAsia="仿宋_GB2312" w:hint="eastAsia"/>
          <w:sz w:val="32"/>
          <w:szCs w:val="32"/>
        </w:rPr>
        <w:t>应选择不允许</w:t>
      </w:r>
      <w:proofErr w:type="gramEnd"/>
      <w:r w:rsidRPr="00DF1B18">
        <w:rPr>
          <w:rFonts w:ascii="仿宋_GB2312" w:eastAsia="仿宋_GB2312" w:hint="eastAsia"/>
          <w:sz w:val="32"/>
          <w:szCs w:val="32"/>
        </w:rPr>
        <w:t>答辩；指</w:t>
      </w:r>
      <w:r w:rsidR="00E0336B">
        <w:rPr>
          <w:rFonts w:ascii="仿宋_GB2312" w:eastAsia="仿宋_GB2312" w:hint="eastAsia"/>
          <w:sz w:val="32"/>
          <w:szCs w:val="32"/>
        </w:rPr>
        <w:t>导教师设置答辩资格为允许答辩</w:t>
      </w:r>
      <w:proofErr w:type="gramStart"/>
      <w:r w:rsidR="00E0336B">
        <w:rPr>
          <w:rFonts w:ascii="仿宋_GB2312" w:eastAsia="仿宋_GB2312" w:hint="eastAsia"/>
          <w:sz w:val="32"/>
          <w:szCs w:val="32"/>
        </w:rPr>
        <w:t>或查重结果</w:t>
      </w:r>
      <w:proofErr w:type="gramEnd"/>
      <w:r w:rsidR="00E0336B">
        <w:rPr>
          <w:rFonts w:ascii="仿宋_GB2312" w:eastAsia="仿宋_GB2312" w:hint="eastAsia"/>
          <w:sz w:val="32"/>
          <w:szCs w:val="32"/>
        </w:rPr>
        <w:t>审核通过时，专业负责人可从</w:t>
      </w:r>
      <w:r w:rsidRPr="00DF1B18">
        <w:rPr>
          <w:rFonts w:ascii="仿宋_GB2312" w:eastAsia="仿宋_GB2312" w:hint="eastAsia"/>
          <w:sz w:val="32"/>
          <w:szCs w:val="32"/>
        </w:rPr>
        <w:t>专业角度</w:t>
      </w:r>
      <w:r w:rsidR="00E0336B">
        <w:rPr>
          <w:rFonts w:ascii="仿宋_GB2312" w:eastAsia="仿宋_GB2312" w:hint="eastAsia"/>
          <w:sz w:val="32"/>
          <w:szCs w:val="32"/>
        </w:rPr>
        <w:t>和根据实际情况</w:t>
      </w:r>
      <w:r w:rsidRPr="00DF1B18">
        <w:rPr>
          <w:rFonts w:ascii="仿宋_GB2312" w:eastAsia="仿宋_GB2312" w:hint="eastAsia"/>
          <w:sz w:val="32"/>
          <w:szCs w:val="32"/>
        </w:rPr>
        <w:t>审核学生是否有最终答辩资格。</w:t>
      </w:r>
    </w:p>
    <w:p w:rsidR="00BA75E6" w:rsidRPr="00BA75E6" w:rsidRDefault="00BA75E6" w:rsidP="00ED7662">
      <w:pPr>
        <w:ind w:firstLineChars="150" w:firstLine="480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D25ABD">
        <w:rPr>
          <w:rFonts w:ascii="仿宋_GB2312" w:eastAsia="仿宋_GB2312" w:hint="eastAsia"/>
          <w:sz w:val="32"/>
          <w:szCs w:val="32"/>
          <w:highlight w:val="yellow"/>
        </w:rPr>
        <w:t>答辩资格全部审核完毕后才能进入下一个环节：答辩分组安排时间地点等。</w:t>
      </w:r>
      <w:bookmarkStart w:id="0" w:name="_GoBack"/>
      <w:bookmarkEnd w:id="0"/>
    </w:p>
    <w:sectPr w:rsidR="00BA75E6" w:rsidRPr="00BA7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CC" w:rsidRDefault="000B42CC" w:rsidP="008A2CE6">
      <w:r>
        <w:separator/>
      </w:r>
    </w:p>
  </w:endnote>
  <w:endnote w:type="continuationSeparator" w:id="0">
    <w:p w:rsidR="000B42CC" w:rsidRDefault="000B42CC" w:rsidP="008A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algun Gothic Semi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CC" w:rsidRDefault="000B42CC" w:rsidP="008A2CE6">
      <w:r>
        <w:separator/>
      </w:r>
    </w:p>
  </w:footnote>
  <w:footnote w:type="continuationSeparator" w:id="0">
    <w:p w:rsidR="000B42CC" w:rsidRDefault="000B42CC" w:rsidP="008A2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495"/>
    <w:multiLevelType w:val="hybridMultilevel"/>
    <w:tmpl w:val="FD5A0A4E"/>
    <w:lvl w:ilvl="0" w:tplc="19505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8135BAE"/>
    <w:multiLevelType w:val="hybridMultilevel"/>
    <w:tmpl w:val="5ECA05BA"/>
    <w:lvl w:ilvl="0" w:tplc="C45461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77"/>
    <w:rsid w:val="000B42CC"/>
    <w:rsid w:val="00101977"/>
    <w:rsid w:val="005C76E0"/>
    <w:rsid w:val="006A179F"/>
    <w:rsid w:val="00863002"/>
    <w:rsid w:val="008A2CE6"/>
    <w:rsid w:val="00BA75E6"/>
    <w:rsid w:val="00D25ABD"/>
    <w:rsid w:val="00D36961"/>
    <w:rsid w:val="00E0336B"/>
    <w:rsid w:val="00E34CBC"/>
    <w:rsid w:val="00E55FA9"/>
    <w:rsid w:val="00ED7662"/>
    <w:rsid w:val="00F26F62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CE6"/>
    <w:rPr>
      <w:sz w:val="18"/>
      <w:szCs w:val="18"/>
    </w:rPr>
  </w:style>
  <w:style w:type="paragraph" w:styleId="a5">
    <w:name w:val="List Paragraph"/>
    <w:basedOn w:val="a"/>
    <w:uiPriority w:val="34"/>
    <w:qFormat/>
    <w:rsid w:val="008A2C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A2C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2CE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2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2C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2C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2CE6"/>
    <w:rPr>
      <w:sz w:val="18"/>
      <w:szCs w:val="18"/>
    </w:rPr>
  </w:style>
  <w:style w:type="paragraph" w:styleId="a5">
    <w:name w:val="List Paragraph"/>
    <w:basedOn w:val="a"/>
    <w:uiPriority w:val="34"/>
    <w:qFormat/>
    <w:rsid w:val="008A2CE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A2CE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A2C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95</Words>
  <Characters>543</Characters>
  <Application>Microsoft Office Word</Application>
  <DocSecurity>0</DocSecurity>
  <Lines>4</Lines>
  <Paragraphs>1</Paragraphs>
  <ScaleCrop>false</ScaleCrop>
  <Company>Ghost Win7 SP1 装机版  V2018/05/08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10</cp:revision>
  <dcterms:created xsi:type="dcterms:W3CDTF">2021-05-10T02:48:00Z</dcterms:created>
  <dcterms:modified xsi:type="dcterms:W3CDTF">2021-05-10T06:41:00Z</dcterms:modified>
</cp:coreProperties>
</file>